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4D5D86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56BAD8BA" w:rsidR="00861F1B" w:rsidRDefault="00861F1B" w:rsidP="004D5D86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255DE7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.</w:t>
      </w:r>
      <w:r w:rsidR="00F70D86">
        <w:rPr>
          <w:b/>
          <w:sz w:val="20"/>
          <w:szCs w:val="20"/>
        </w:rPr>
        <w:t>03</w:t>
      </w:r>
      <w:r>
        <w:rPr>
          <w:b/>
          <w:sz w:val="20"/>
          <w:szCs w:val="20"/>
        </w:rPr>
        <w:t>.202</w:t>
      </w:r>
      <w:r w:rsidR="00C7416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r.</w:t>
      </w:r>
    </w:p>
    <w:p w14:paraId="6E64968D" w14:textId="77777777" w:rsidR="00861F1B" w:rsidRDefault="00861F1B" w:rsidP="004D5D86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55FD744A" w14:textId="2FFA3660" w:rsidR="00F70D86" w:rsidRDefault="00F70D86" w:rsidP="004D5D86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Faktoring eksportowy – usługa finansowania za granicą dla polskich firm</w:t>
      </w:r>
    </w:p>
    <w:p w14:paraId="2A2E3F5C" w14:textId="3BD7375F" w:rsidR="00F70D86" w:rsidRPr="00F70D86" w:rsidRDefault="00F70D86" w:rsidP="004D5D86">
      <w:pPr>
        <w:spacing w:before="100" w:beforeAutospacing="1" w:after="100" w:afterAutospacing="1"/>
        <w:contextualSpacing/>
        <w:jc w:val="center"/>
        <w:rPr>
          <w:rFonts w:cs="Calibri"/>
          <w:b/>
          <w:bCs/>
          <w:i/>
          <w:iCs/>
          <w:sz w:val="28"/>
          <w:szCs w:val="28"/>
        </w:rPr>
      </w:pPr>
      <w:r w:rsidRPr="00F70D86">
        <w:rPr>
          <w:rFonts w:cs="Calibri"/>
          <w:b/>
          <w:bCs/>
          <w:i/>
          <w:iCs/>
          <w:sz w:val="28"/>
          <w:szCs w:val="28"/>
        </w:rPr>
        <w:t>Dlaczego warto z niej korzystać?</w:t>
      </w:r>
    </w:p>
    <w:p w14:paraId="2FC86740" w14:textId="77777777" w:rsidR="00F70D86" w:rsidRDefault="00F70D86" w:rsidP="004D5D86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</w:p>
    <w:p w14:paraId="55BCB5BE" w14:textId="512C2679" w:rsidR="00AC1266" w:rsidRPr="00F70D86" w:rsidRDefault="00C74164" w:rsidP="00D93F67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 w:rsidRPr="00F70D86">
        <w:rPr>
          <w:rFonts w:cs="Calibri"/>
          <w:b/>
          <w:bCs/>
          <w:sz w:val="24"/>
          <w:szCs w:val="24"/>
        </w:rPr>
        <w:t>Wiarygodność kontrahenta zagranicznego, odroczone terminy płatności w eksporcie oraz ryzyko różnic kursowych</w:t>
      </w:r>
      <w:r w:rsidR="00EB19C9" w:rsidRPr="00EB19C9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EB19C9">
        <w:rPr>
          <w:rFonts w:cs="Calibri"/>
          <w:b/>
          <w:bCs/>
          <w:color w:val="000000" w:themeColor="text1"/>
          <w:sz w:val="24"/>
          <w:szCs w:val="24"/>
        </w:rPr>
        <w:t xml:space="preserve">– </w:t>
      </w:r>
      <w:r w:rsidRPr="00F70D86">
        <w:rPr>
          <w:rFonts w:cs="Calibri"/>
          <w:b/>
          <w:bCs/>
          <w:sz w:val="24"/>
          <w:szCs w:val="24"/>
        </w:rPr>
        <w:t>z takimi wyzwaniami mierzą się polscy producenci i dostawcy usług</w:t>
      </w:r>
      <w:r w:rsidR="00AC1266" w:rsidRPr="00F70D86">
        <w:rPr>
          <w:rFonts w:cs="Calibri"/>
          <w:b/>
          <w:bCs/>
          <w:sz w:val="24"/>
          <w:szCs w:val="24"/>
        </w:rPr>
        <w:t xml:space="preserve"> w handlu międzynarodowym. </w:t>
      </w:r>
      <w:r w:rsidR="00E74EC5" w:rsidRPr="00F70D86">
        <w:rPr>
          <w:rFonts w:cs="Calibri"/>
          <w:b/>
          <w:bCs/>
          <w:sz w:val="24"/>
          <w:szCs w:val="24"/>
        </w:rPr>
        <w:t xml:space="preserve">Usługa finansowania faktur z powodzeniem pomoże zarządzać ryzykiem w transakcjach eksportowych – istotny jest jednak wybór </w:t>
      </w:r>
      <w:r w:rsidR="00492869">
        <w:rPr>
          <w:rFonts w:cs="Calibri"/>
          <w:b/>
          <w:bCs/>
          <w:sz w:val="24"/>
          <w:szCs w:val="24"/>
        </w:rPr>
        <w:t>firmy faktoringowej</w:t>
      </w:r>
      <w:r w:rsidR="00E74EC5" w:rsidRPr="00F70D86">
        <w:rPr>
          <w:rFonts w:cs="Calibri"/>
          <w:b/>
          <w:bCs/>
          <w:sz w:val="24"/>
          <w:szCs w:val="24"/>
        </w:rPr>
        <w:t xml:space="preserve"> z odpowiednim zapleczem operacyjnym.</w:t>
      </w:r>
    </w:p>
    <w:p w14:paraId="4BFC365E" w14:textId="77777777" w:rsidR="00AC1266" w:rsidRPr="00F70D86" w:rsidRDefault="00AC1266" w:rsidP="00D93F67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4D8B5525" w14:textId="1DD3BC21" w:rsidR="00C74164" w:rsidRPr="00F70D86" w:rsidRDefault="00E74EC5" w:rsidP="00D93F67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F70D86">
        <w:rPr>
          <w:rFonts w:cs="Calibri"/>
          <w:sz w:val="24"/>
          <w:szCs w:val="24"/>
        </w:rPr>
        <w:t>Taki p</w:t>
      </w:r>
      <w:r w:rsidR="00AC1266" w:rsidRPr="00F70D86">
        <w:rPr>
          <w:rFonts w:cs="Calibri"/>
          <w:sz w:val="24"/>
          <w:szCs w:val="24"/>
        </w:rPr>
        <w:t xml:space="preserve">artner faktoringowy jest w stanie za pomocą numeru identyfikacji podatkowej danego </w:t>
      </w:r>
      <w:r w:rsidR="00492869">
        <w:rPr>
          <w:rFonts w:cs="Calibri"/>
          <w:sz w:val="24"/>
          <w:szCs w:val="24"/>
        </w:rPr>
        <w:t>kontrahenta</w:t>
      </w:r>
      <w:r w:rsidR="00EB19C9">
        <w:rPr>
          <w:rFonts w:cs="Calibri"/>
          <w:sz w:val="24"/>
          <w:szCs w:val="24"/>
        </w:rPr>
        <w:t xml:space="preserve"> </w:t>
      </w:r>
      <w:r w:rsidR="00AC1266" w:rsidRPr="00F70D86">
        <w:rPr>
          <w:rFonts w:cs="Calibri"/>
          <w:sz w:val="24"/>
          <w:szCs w:val="24"/>
        </w:rPr>
        <w:t xml:space="preserve">zweryfikować potencjalnego kontrahenta oraz ustalić jego zdolność do regulowania zobowiązań. W przypadku sprzedaży z odroczonym terminem płatności, to </w:t>
      </w:r>
      <w:r w:rsidR="00492869">
        <w:rPr>
          <w:rFonts w:cs="Calibri"/>
          <w:sz w:val="24"/>
          <w:szCs w:val="24"/>
        </w:rPr>
        <w:t>firma faktoringowa</w:t>
      </w:r>
      <w:r w:rsidR="00AC1266" w:rsidRPr="00F70D86">
        <w:rPr>
          <w:rFonts w:cs="Calibri"/>
          <w:sz w:val="24"/>
          <w:szCs w:val="24"/>
        </w:rPr>
        <w:t xml:space="preserve"> przejmuje ryzyko niewypłacalności takiego podmiotu. Biorąc pod uwagę wahania kursów walut w relacji do złotego, wartością usługi faktoringu eksportowego jest także fakt, że należność jest wypłacana na konto </w:t>
      </w:r>
      <w:r w:rsidR="00492869">
        <w:rPr>
          <w:rFonts w:cs="Calibri"/>
          <w:sz w:val="24"/>
          <w:szCs w:val="24"/>
        </w:rPr>
        <w:t>klienta</w:t>
      </w:r>
      <w:r w:rsidR="00AC1266" w:rsidRPr="00F70D86">
        <w:rPr>
          <w:rFonts w:cs="Calibri"/>
          <w:sz w:val="24"/>
          <w:szCs w:val="24"/>
        </w:rPr>
        <w:t xml:space="preserve"> w czasie do dwóch godzin, a więc </w:t>
      </w:r>
      <w:r w:rsidRPr="00F70D86">
        <w:rPr>
          <w:rFonts w:cs="Calibri"/>
          <w:sz w:val="24"/>
          <w:szCs w:val="24"/>
        </w:rPr>
        <w:t>po kursie z dnia wystawienia faktury.</w:t>
      </w:r>
    </w:p>
    <w:p w14:paraId="7B09ED7D" w14:textId="77777777" w:rsidR="00764F96" w:rsidRPr="00F70D86" w:rsidRDefault="00764F96" w:rsidP="00E74EC5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9FCCBE8" w14:textId="380F6052" w:rsidR="00E74EC5" w:rsidRPr="00F70D86" w:rsidRDefault="00E74EC5" w:rsidP="00E74EC5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Polskie firmy 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>mierzą się</w:t>
      </w:r>
      <w:r w:rsidR="0056390B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przede wszystkim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z </w:t>
      </w:r>
      <w:r w:rsidR="0041479C" w:rsidRPr="00F70D86">
        <w:rPr>
          <w:rFonts w:asciiTheme="minorHAnsi" w:hAnsiTheme="minorHAnsi" w:cstheme="minorHAnsi"/>
          <w:i/>
          <w:iCs/>
          <w:sz w:val="24"/>
          <w:szCs w:val="24"/>
        </w:rPr>
        <w:t>zagrożeniem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92869">
        <w:rPr>
          <w:rFonts w:asciiTheme="minorHAnsi" w:hAnsiTheme="minorHAnsi" w:cstheme="minorHAnsi"/>
          <w:i/>
          <w:iCs/>
          <w:sz w:val="24"/>
          <w:szCs w:val="24"/>
        </w:rPr>
        <w:t>nie otrzymania zapłaty za fakturę  z powodu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niepewnej sytuacji gospodarcze</w:t>
      </w:r>
      <w:r w:rsidR="00EB19C9">
        <w:rPr>
          <w:rFonts w:asciiTheme="minorHAnsi" w:hAnsiTheme="minorHAnsi" w:cstheme="minorHAnsi"/>
          <w:i/>
          <w:iCs/>
          <w:sz w:val="24"/>
          <w:szCs w:val="24"/>
        </w:rPr>
        <w:t>j</w:t>
      </w:r>
      <w:r w:rsidR="00492869">
        <w:rPr>
          <w:rFonts w:asciiTheme="minorHAnsi" w:hAnsiTheme="minorHAnsi" w:cstheme="minorHAnsi"/>
          <w:i/>
          <w:iCs/>
          <w:sz w:val="24"/>
          <w:szCs w:val="24"/>
        </w:rPr>
        <w:t xml:space="preserve"> w Europie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i duży</w:t>
      </w:r>
      <w:r w:rsidR="0041479C" w:rsidRPr="00F70D86">
        <w:rPr>
          <w:rFonts w:asciiTheme="minorHAnsi" w:hAnsiTheme="minorHAnsi" w:cstheme="minorHAnsi"/>
          <w:i/>
          <w:iCs/>
          <w:sz w:val="24"/>
          <w:szCs w:val="24"/>
        </w:rPr>
        <w:t>ch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1479C" w:rsidRPr="00F70D86">
        <w:rPr>
          <w:rFonts w:asciiTheme="minorHAnsi" w:hAnsiTheme="minorHAnsi" w:cstheme="minorHAnsi"/>
          <w:i/>
          <w:iCs/>
          <w:sz w:val="24"/>
          <w:szCs w:val="24"/>
        </w:rPr>
        <w:t>wahań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kursów walut w stosunku do złotówki.</w:t>
      </w:r>
      <w:r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Rozwiązaniem dla tego </w:t>
      </w:r>
      <w:r w:rsidR="00F70D86">
        <w:rPr>
          <w:rFonts w:asciiTheme="minorHAnsi" w:hAnsiTheme="minorHAnsi" w:cstheme="minorHAnsi"/>
          <w:i/>
          <w:iCs/>
          <w:sz w:val="24"/>
          <w:szCs w:val="24"/>
        </w:rPr>
        <w:t>wyzwania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jest </w:t>
      </w:r>
      <w:r w:rsidR="0041479C" w:rsidRPr="00F70D86">
        <w:rPr>
          <w:rFonts w:asciiTheme="minorHAnsi" w:hAnsiTheme="minorHAnsi" w:cstheme="minorHAnsi"/>
          <w:i/>
          <w:iCs/>
          <w:sz w:val="24"/>
          <w:szCs w:val="24"/>
        </w:rPr>
        <w:t>finansowanie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faktur w walucie, w której został</w:t>
      </w:r>
      <w:r w:rsidR="0041479C" w:rsidRPr="00F70D86">
        <w:rPr>
          <w:rFonts w:asciiTheme="minorHAnsi" w:hAnsiTheme="minorHAnsi" w:cstheme="minorHAnsi"/>
          <w:i/>
          <w:iCs/>
          <w:sz w:val="24"/>
          <w:szCs w:val="24"/>
        </w:rPr>
        <w:t>y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wystawion</w:t>
      </w:r>
      <w:r w:rsidR="0041479C" w:rsidRPr="00F70D86"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="00EB19C9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492869">
        <w:rPr>
          <w:rFonts w:asciiTheme="minorHAnsi" w:hAnsiTheme="minorHAnsi" w:cstheme="minorHAnsi"/>
          <w:i/>
          <w:iCs/>
          <w:sz w:val="24"/>
          <w:szCs w:val="24"/>
        </w:rPr>
        <w:t xml:space="preserve"> dzięki czemu unikamy ryzyka braku zapłaty za fakturę przez odbiorcę</w:t>
      </w:r>
      <w:r w:rsidR="00EB19C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92869">
        <w:rPr>
          <w:rFonts w:asciiTheme="minorHAnsi" w:hAnsiTheme="minorHAnsi" w:cstheme="minorHAnsi"/>
          <w:i/>
          <w:iCs/>
          <w:sz w:val="24"/>
          <w:szCs w:val="24"/>
        </w:rPr>
        <w:t>oraz unikamy ryzyka wahań kursowych.</w:t>
      </w:r>
      <w:r w:rsidR="00EB19C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Dzięki 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>naszej obecności</w:t>
      </w:r>
      <w:r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>na</w:t>
      </w:r>
      <w:r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>rynkach</w:t>
      </w:r>
      <w:r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F30199" w:rsidRPr="00F70D86">
        <w:rPr>
          <w:rFonts w:asciiTheme="minorHAnsi" w:hAnsiTheme="minorHAnsi" w:cstheme="minorHAnsi"/>
          <w:i/>
          <w:iCs/>
          <w:sz w:val="24"/>
          <w:szCs w:val="24"/>
        </w:rPr>
        <w:t>Unii Europejskiej</w:t>
      </w:r>
      <w:r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>jesteśmy</w:t>
      </w:r>
      <w:r w:rsidR="00F30199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także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w stanie zaproponować obsługę polskich eksporterów </w:t>
      </w:r>
      <w:r w:rsidR="0056390B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przez 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>rozpoznawaną i uznaną na całym świecie</w:t>
      </w:r>
      <w:r w:rsidR="0056390B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markę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, co ma </w:t>
      </w:r>
      <w:r w:rsidR="0041479C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ogromne 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znaczenie w </w:t>
      </w:r>
      <w:r w:rsidR="0041479C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utrzymaniu </w:t>
      </w:r>
      <w:r w:rsidR="0056390B" w:rsidRPr="00F70D86">
        <w:rPr>
          <w:rFonts w:asciiTheme="minorHAnsi" w:hAnsiTheme="minorHAnsi" w:cstheme="minorHAnsi"/>
          <w:i/>
          <w:iCs/>
          <w:sz w:val="24"/>
          <w:szCs w:val="24"/>
        </w:rPr>
        <w:t>właściwych</w:t>
      </w:r>
      <w:r w:rsidR="0041479C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relacji</w:t>
      </w:r>
      <w:r w:rsidR="00A63E6A"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z ich kontrahentami</w:t>
      </w:r>
      <w:r w:rsidR="00492869">
        <w:rPr>
          <w:rFonts w:asciiTheme="minorHAnsi" w:hAnsiTheme="minorHAnsi" w:cstheme="minorHAnsi"/>
          <w:i/>
          <w:iCs/>
          <w:sz w:val="24"/>
          <w:szCs w:val="24"/>
        </w:rPr>
        <w:t xml:space="preserve"> oraz na terminowość spłat</w:t>
      </w:r>
      <w:r w:rsidR="00F70D8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70D86">
        <w:rPr>
          <w:rFonts w:asciiTheme="minorHAnsi" w:hAnsiTheme="minorHAnsi" w:cstheme="minorHAnsi"/>
          <w:sz w:val="24"/>
          <w:szCs w:val="24"/>
        </w:rPr>
        <w:t>– mówi</w:t>
      </w:r>
      <w:r w:rsidRPr="00F70D86">
        <w:rPr>
          <w:rFonts w:asciiTheme="minorHAnsi" w:hAnsiTheme="minorHAnsi" w:cstheme="minorHAnsi"/>
          <w:b/>
          <w:bCs/>
          <w:sz w:val="24"/>
          <w:szCs w:val="24"/>
        </w:rPr>
        <w:t xml:space="preserve"> Paweł Kacprzak, </w:t>
      </w:r>
      <w:r w:rsidR="00F70D86" w:rsidRPr="00F70D86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F70D86">
        <w:rPr>
          <w:rFonts w:asciiTheme="minorHAnsi" w:hAnsiTheme="minorHAnsi" w:cstheme="minorHAnsi"/>
          <w:b/>
          <w:bCs/>
          <w:sz w:val="24"/>
          <w:szCs w:val="24"/>
        </w:rPr>
        <w:t xml:space="preserve">złonek </w:t>
      </w:r>
      <w:r w:rsidR="00F70D86" w:rsidRPr="00F70D86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Pr="00F70D86">
        <w:rPr>
          <w:rFonts w:asciiTheme="minorHAnsi" w:hAnsiTheme="minorHAnsi" w:cstheme="minorHAnsi"/>
          <w:b/>
          <w:bCs/>
          <w:sz w:val="24"/>
          <w:szCs w:val="24"/>
        </w:rPr>
        <w:t>arządu BNP Paribas Faktoring</w:t>
      </w:r>
      <w:r w:rsidR="00F70D86" w:rsidRPr="00F70D8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C65D2D9" w14:textId="77777777" w:rsidR="00E74EC5" w:rsidRPr="00F70D86" w:rsidRDefault="00E74EC5" w:rsidP="00D93F67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6F64715A" w14:textId="5ED46AE1" w:rsidR="00764F96" w:rsidRPr="00F70D86" w:rsidRDefault="00E74EC5" w:rsidP="00DC4F98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F70D86">
        <w:rPr>
          <w:rFonts w:cs="Calibri"/>
          <w:sz w:val="24"/>
          <w:szCs w:val="24"/>
        </w:rPr>
        <w:t xml:space="preserve">Jak podaje GUS, na koniec III kw. 2023 r. wartość </w:t>
      </w:r>
      <w:r w:rsidR="00A63E6A" w:rsidRPr="00F70D86">
        <w:rPr>
          <w:rFonts w:cs="Calibri"/>
          <w:sz w:val="24"/>
          <w:szCs w:val="24"/>
        </w:rPr>
        <w:t>eksportowanych</w:t>
      </w:r>
      <w:r w:rsidRPr="00F70D86">
        <w:rPr>
          <w:rFonts w:cs="Calibri"/>
          <w:sz w:val="24"/>
          <w:szCs w:val="24"/>
        </w:rPr>
        <w:t xml:space="preserve"> towarów i usług</w:t>
      </w:r>
      <w:r w:rsidR="00A63E6A" w:rsidRPr="00F70D86">
        <w:rPr>
          <w:rFonts w:cs="Calibri"/>
          <w:sz w:val="24"/>
          <w:szCs w:val="24"/>
        </w:rPr>
        <w:t xml:space="preserve"> z Polski</w:t>
      </w:r>
      <w:r w:rsidRPr="00F70D86">
        <w:rPr>
          <w:rFonts w:cs="Calibri"/>
          <w:sz w:val="24"/>
          <w:szCs w:val="24"/>
        </w:rPr>
        <w:t xml:space="preserve"> osiągnęła rekordową wartość ponad 430,5 mld euro.</w:t>
      </w:r>
      <w:r w:rsidR="00A63E6A" w:rsidRPr="00F70D86">
        <w:rPr>
          <w:rFonts w:cs="Calibri"/>
          <w:sz w:val="24"/>
          <w:szCs w:val="24"/>
        </w:rPr>
        <w:t xml:space="preserve"> Jest to wzrost aż</w:t>
      </w:r>
      <w:r w:rsidR="00F70D86">
        <w:rPr>
          <w:rFonts w:cs="Calibri"/>
          <w:sz w:val="24"/>
          <w:szCs w:val="24"/>
        </w:rPr>
        <w:t xml:space="preserve"> o</w:t>
      </w:r>
      <w:r w:rsidR="00A63E6A" w:rsidRPr="00F70D86">
        <w:rPr>
          <w:rFonts w:cs="Calibri"/>
          <w:sz w:val="24"/>
          <w:szCs w:val="24"/>
        </w:rPr>
        <w:t xml:space="preserve"> 52% w porównaniu </w:t>
      </w:r>
      <w:r w:rsidRPr="00F70D86">
        <w:rPr>
          <w:rFonts w:cs="Calibri"/>
          <w:sz w:val="24"/>
          <w:szCs w:val="24"/>
        </w:rPr>
        <w:t xml:space="preserve">do 2019 r. Największy udział w eksporcie miały Niemcy, Czechy oraz Francja. </w:t>
      </w:r>
      <w:r w:rsidR="00A63E6A" w:rsidRPr="00F70D86">
        <w:rPr>
          <w:rFonts w:cs="Calibri"/>
          <w:sz w:val="24"/>
          <w:szCs w:val="24"/>
        </w:rPr>
        <w:t xml:space="preserve">Polska wyprzedziła także </w:t>
      </w:r>
      <w:r w:rsidR="00111653" w:rsidRPr="00F70D86">
        <w:rPr>
          <w:rFonts w:cs="Calibri"/>
          <w:sz w:val="24"/>
          <w:szCs w:val="24"/>
        </w:rPr>
        <w:t>francuskie firmy</w:t>
      </w:r>
      <w:r w:rsidR="00A63E6A" w:rsidRPr="00F70D86">
        <w:rPr>
          <w:rFonts w:cs="Calibri"/>
          <w:sz w:val="24"/>
          <w:szCs w:val="24"/>
        </w:rPr>
        <w:t xml:space="preserve"> pod względem skali wymiany handlowej z Niemcami, pomimo że te dwa kraje </w:t>
      </w:r>
      <w:r w:rsidR="00F70D86">
        <w:rPr>
          <w:rFonts w:cs="Calibri"/>
          <w:sz w:val="24"/>
          <w:szCs w:val="24"/>
        </w:rPr>
        <w:t>S</w:t>
      </w:r>
      <w:r w:rsidR="00A63E6A" w:rsidRPr="00F70D86">
        <w:rPr>
          <w:rFonts w:cs="Calibri"/>
          <w:sz w:val="24"/>
          <w:szCs w:val="24"/>
        </w:rPr>
        <w:t xml:space="preserve">tarego </w:t>
      </w:r>
      <w:r w:rsidR="00F70D86">
        <w:rPr>
          <w:rFonts w:cs="Calibri"/>
          <w:sz w:val="24"/>
          <w:szCs w:val="24"/>
        </w:rPr>
        <w:t>K</w:t>
      </w:r>
      <w:r w:rsidR="00A63E6A" w:rsidRPr="00F70D86">
        <w:rPr>
          <w:rFonts w:cs="Calibri"/>
          <w:sz w:val="24"/>
          <w:szCs w:val="24"/>
        </w:rPr>
        <w:t>ontynentu posługują się wspólną walutą.</w:t>
      </w:r>
      <w:r w:rsidR="0041479C" w:rsidRPr="00F70D86">
        <w:rPr>
          <w:rFonts w:cs="Calibri"/>
          <w:sz w:val="24"/>
          <w:szCs w:val="24"/>
        </w:rPr>
        <w:t xml:space="preserve"> </w:t>
      </w:r>
    </w:p>
    <w:p w14:paraId="4F438582" w14:textId="77777777" w:rsidR="00764F96" w:rsidRPr="00F70D86" w:rsidRDefault="00764F96" w:rsidP="00DC4F98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6E395CCE" w14:textId="40EF0474" w:rsidR="00764F96" w:rsidRPr="00F70D86" w:rsidRDefault="00764F96" w:rsidP="00764F96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70D86">
        <w:rPr>
          <w:rFonts w:cs="Calibri"/>
          <w:i/>
          <w:iCs/>
          <w:sz w:val="24"/>
          <w:szCs w:val="24"/>
        </w:rPr>
        <w:t>Ok</w:t>
      </w:r>
      <w:r w:rsidR="00F70D86">
        <w:rPr>
          <w:rFonts w:cs="Calibri"/>
          <w:i/>
          <w:iCs/>
          <w:sz w:val="24"/>
          <w:szCs w:val="24"/>
        </w:rPr>
        <w:t>.</w:t>
      </w:r>
      <w:r w:rsidRPr="00F70D86">
        <w:rPr>
          <w:rFonts w:cs="Calibri"/>
          <w:i/>
          <w:iCs/>
          <w:sz w:val="24"/>
          <w:szCs w:val="24"/>
        </w:rPr>
        <w:t xml:space="preserve"> 20% procent rynku faktoringu w Polsce, a 25% naszego biznesu to faktoring zagraniczny.</w:t>
      </w:r>
      <w:r w:rsidRPr="00F70D86">
        <w:rPr>
          <w:rFonts w:cs="Calibri"/>
          <w:sz w:val="24"/>
          <w:szCs w:val="24"/>
        </w:rPr>
        <w:t xml:space="preserve"> </w:t>
      </w:r>
      <w:r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W BNP Paribas Faktoring z powodzeniem obsługujemy przedsiębiorstwa oczekujące od nas odpowiedzi na wiele wyzwań biznesowych. Dzięki współpracy z aż </w:t>
      </w:r>
      <w:r w:rsidR="00F70D86">
        <w:rPr>
          <w:rFonts w:asciiTheme="minorHAnsi" w:hAnsiTheme="minorHAnsi" w:cstheme="minorHAnsi"/>
          <w:i/>
          <w:iCs/>
          <w:sz w:val="24"/>
          <w:szCs w:val="24"/>
        </w:rPr>
        <w:t>trzema</w:t>
      </w:r>
      <w:r w:rsidRPr="00F70D86">
        <w:rPr>
          <w:rFonts w:asciiTheme="minorHAnsi" w:hAnsiTheme="minorHAnsi" w:cstheme="minorHAnsi"/>
          <w:i/>
          <w:iCs/>
          <w:sz w:val="24"/>
          <w:szCs w:val="24"/>
        </w:rPr>
        <w:t xml:space="preserve"> firmami </w:t>
      </w:r>
      <w:r w:rsidRPr="00F70D86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ubezpieczeniowymi, jesteśmy w stanie skuteczniej uzyskać limit przejęcia ryzyka na danego kontrahenta </w:t>
      </w:r>
      <w:r w:rsidR="00492869">
        <w:rPr>
          <w:rFonts w:asciiTheme="minorHAnsi" w:hAnsiTheme="minorHAnsi" w:cstheme="minorHAnsi"/>
          <w:i/>
          <w:iCs/>
          <w:sz w:val="24"/>
          <w:szCs w:val="24"/>
        </w:rPr>
        <w:t>zagranicznego</w:t>
      </w:r>
      <w:r w:rsidR="00EB19C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70D86">
        <w:rPr>
          <w:rFonts w:asciiTheme="minorHAnsi" w:hAnsiTheme="minorHAnsi" w:cstheme="minorHAnsi"/>
          <w:sz w:val="24"/>
          <w:szCs w:val="24"/>
        </w:rPr>
        <w:t>– dodaje</w:t>
      </w:r>
      <w:r w:rsidRPr="00F70D86">
        <w:rPr>
          <w:rFonts w:asciiTheme="minorHAnsi" w:hAnsiTheme="minorHAnsi" w:cstheme="minorHAnsi"/>
          <w:b/>
          <w:bCs/>
          <w:sz w:val="24"/>
          <w:szCs w:val="24"/>
        </w:rPr>
        <w:t xml:space="preserve"> Paweł Kacprzak.</w:t>
      </w:r>
    </w:p>
    <w:p w14:paraId="11DD34A5" w14:textId="77777777" w:rsidR="00764F96" w:rsidRPr="00F70D86" w:rsidRDefault="00764F96" w:rsidP="00DC4F98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46B504B5" w14:textId="6D202385" w:rsidR="004D5D86" w:rsidRPr="00F70D86" w:rsidRDefault="0041479C" w:rsidP="004D5D86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F70D86">
        <w:rPr>
          <w:rFonts w:cs="Calibri"/>
          <w:sz w:val="24"/>
          <w:szCs w:val="24"/>
        </w:rPr>
        <w:t xml:space="preserve">Uwzględniając </w:t>
      </w:r>
      <w:r w:rsidR="00F30199" w:rsidRPr="00F70D86">
        <w:rPr>
          <w:rFonts w:cs="Calibri"/>
          <w:sz w:val="24"/>
          <w:szCs w:val="24"/>
        </w:rPr>
        <w:t xml:space="preserve">niekorzystną </w:t>
      </w:r>
      <w:r w:rsidRPr="00F70D86">
        <w:rPr>
          <w:rFonts w:cs="Calibri"/>
          <w:sz w:val="24"/>
          <w:szCs w:val="24"/>
        </w:rPr>
        <w:t xml:space="preserve">sytuację niemieckiej gospodarki, polscy przedsiębiorcy </w:t>
      </w:r>
      <w:r w:rsidR="00111653" w:rsidRPr="00F70D86">
        <w:rPr>
          <w:rFonts w:cs="Calibri"/>
          <w:sz w:val="24"/>
          <w:szCs w:val="24"/>
        </w:rPr>
        <w:t xml:space="preserve">decydują się poszukiwać nowych rynków zbytu. Faktoring sprawia, że </w:t>
      </w:r>
      <w:r w:rsidR="00F30199" w:rsidRPr="00F70D86">
        <w:rPr>
          <w:rFonts w:cs="Calibri"/>
          <w:sz w:val="24"/>
          <w:szCs w:val="24"/>
        </w:rPr>
        <w:t>eksporterzy</w:t>
      </w:r>
      <w:r w:rsidR="00111653" w:rsidRPr="00F70D86">
        <w:rPr>
          <w:rFonts w:cs="Calibri"/>
          <w:sz w:val="24"/>
          <w:szCs w:val="24"/>
        </w:rPr>
        <w:t xml:space="preserve"> mogą poprawić płynność finansową i konkurencyjność oraz zapobiec zatorom płatniczym. Wszystko dzięki przeniesieniu na firmę faktoringową ryzyka braku zapłaty oraz monitowania odbiorcy. Alternatywą są kosztowne procedury weryfikacji nowych kontrahentów, ubezpieczenia transakcji oraz niekorzystne kredytowanie</w:t>
      </w:r>
      <w:r w:rsidR="00F30199" w:rsidRPr="00F70D86">
        <w:rPr>
          <w:rFonts w:cs="Calibri"/>
          <w:sz w:val="24"/>
          <w:szCs w:val="24"/>
        </w:rPr>
        <w:t>, które mogą ostudzić zapał do ekspansji na nowe rynki</w:t>
      </w:r>
      <w:r w:rsidR="00764F96" w:rsidRPr="00F70D86">
        <w:rPr>
          <w:rFonts w:cs="Calibri"/>
          <w:sz w:val="24"/>
          <w:szCs w:val="24"/>
        </w:rPr>
        <w:t>.</w:t>
      </w:r>
      <w:r w:rsidR="00F30199" w:rsidRPr="00F70D86">
        <w:rPr>
          <w:rFonts w:cs="Calibri"/>
          <w:sz w:val="24"/>
          <w:szCs w:val="24"/>
        </w:rPr>
        <w:t xml:space="preserve"> </w:t>
      </w:r>
      <w:r w:rsidR="00764F96" w:rsidRPr="00F70D86">
        <w:rPr>
          <w:rFonts w:cs="Calibri"/>
          <w:sz w:val="24"/>
          <w:szCs w:val="24"/>
        </w:rPr>
        <w:t xml:space="preserve">Faktoring eksportowy to wygodne rozwiązanie, które usprawnia rozliczenia z zagranicznymi </w:t>
      </w:r>
      <w:r w:rsidR="00F30199" w:rsidRPr="00F70D86">
        <w:rPr>
          <w:rFonts w:cs="Calibri"/>
          <w:sz w:val="24"/>
          <w:szCs w:val="24"/>
        </w:rPr>
        <w:t>klientami</w:t>
      </w:r>
      <w:r w:rsidR="00764F96" w:rsidRPr="00F70D86">
        <w:rPr>
          <w:rFonts w:cs="Calibri"/>
          <w:sz w:val="24"/>
          <w:szCs w:val="24"/>
        </w:rPr>
        <w:t>. Korzystać mogą z niego zarówno duże przedsiębiorstwa, jak i średnie oraz małe.</w:t>
      </w:r>
    </w:p>
    <w:p w14:paraId="73FE37B8" w14:textId="77777777" w:rsidR="00EF63CB" w:rsidRPr="00EF63CB" w:rsidRDefault="00EF63CB" w:rsidP="004D5D86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9C016DC" w14:textId="77777777" w:rsidR="007C430C" w:rsidRPr="007C430C" w:rsidRDefault="007C430C" w:rsidP="004D5D86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4D5D86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4D5D86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4D8B" w14:textId="77777777" w:rsidR="000F2ECA" w:rsidRDefault="000F2ECA" w:rsidP="007C430C">
      <w:pPr>
        <w:spacing w:after="0" w:line="240" w:lineRule="auto"/>
      </w:pPr>
      <w:r>
        <w:separator/>
      </w:r>
    </w:p>
  </w:endnote>
  <w:endnote w:type="continuationSeparator" w:id="0">
    <w:p w14:paraId="2BBC78BF" w14:textId="77777777" w:rsidR="000F2ECA" w:rsidRDefault="000F2ECA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93BC" w14:textId="77777777" w:rsidR="000F2ECA" w:rsidRDefault="000F2ECA" w:rsidP="007C430C">
      <w:pPr>
        <w:spacing w:after="0" w:line="240" w:lineRule="auto"/>
      </w:pPr>
      <w:r>
        <w:separator/>
      </w:r>
    </w:p>
  </w:footnote>
  <w:footnote w:type="continuationSeparator" w:id="0">
    <w:p w14:paraId="2BDB42BC" w14:textId="77777777" w:rsidR="000F2ECA" w:rsidRDefault="000F2ECA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51D9D"/>
    <w:rsid w:val="0005686E"/>
    <w:rsid w:val="00060453"/>
    <w:rsid w:val="000620A4"/>
    <w:rsid w:val="00062187"/>
    <w:rsid w:val="0009386E"/>
    <w:rsid w:val="000B3BB9"/>
    <w:rsid w:val="000E0E4F"/>
    <w:rsid w:val="000F2ECA"/>
    <w:rsid w:val="0010191C"/>
    <w:rsid w:val="001021FC"/>
    <w:rsid w:val="00111653"/>
    <w:rsid w:val="001225D5"/>
    <w:rsid w:val="00124090"/>
    <w:rsid w:val="00144540"/>
    <w:rsid w:val="00157CAF"/>
    <w:rsid w:val="00161687"/>
    <w:rsid w:val="001662C7"/>
    <w:rsid w:val="0018583B"/>
    <w:rsid w:val="001D5A11"/>
    <w:rsid w:val="001D6E61"/>
    <w:rsid w:val="001D716F"/>
    <w:rsid w:val="001E26C3"/>
    <w:rsid w:val="001F53FA"/>
    <w:rsid w:val="00205E99"/>
    <w:rsid w:val="002070FE"/>
    <w:rsid w:val="00216D49"/>
    <w:rsid w:val="0022109C"/>
    <w:rsid w:val="00222A28"/>
    <w:rsid w:val="002231DA"/>
    <w:rsid w:val="00224ACA"/>
    <w:rsid w:val="00232AE6"/>
    <w:rsid w:val="00251F5E"/>
    <w:rsid w:val="00255DE7"/>
    <w:rsid w:val="00285523"/>
    <w:rsid w:val="002923D2"/>
    <w:rsid w:val="0029300E"/>
    <w:rsid w:val="002938B1"/>
    <w:rsid w:val="002A3F41"/>
    <w:rsid w:val="002B02AD"/>
    <w:rsid w:val="002B10F8"/>
    <w:rsid w:val="002E0EBD"/>
    <w:rsid w:val="00315304"/>
    <w:rsid w:val="003201AB"/>
    <w:rsid w:val="003243AE"/>
    <w:rsid w:val="00327202"/>
    <w:rsid w:val="00346382"/>
    <w:rsid w:val="003469BC"/>
    <w:rsid w:val="00352BEF"/>
    <w:rsid w:val="00377188"/>
    <w:rsid w:val="003A1D08"/>
    <w:rsid w:val="003B2534"/>
    <w:rsid w:val="003C101F"/>
    <w:rsid w:val="003D667F"/>
    <w:rsid w:val="003F5F9D"/>
    <w:rsid w:val="00400E57"/>
    <w:rsid w:val="00412CAA"/>
    <w:rsid w:val="0041479C"/>
    <w:rsid w:val="00432FAD"/>
    <w:rsid w:val="00440995"/>
    <w:rsid w:val="00446306"/>
    <w:rsid w:val="00450588"/>
    <w:rsid w:val="00492869"/>
    <w:rsid w:val="004C3388"/>
    <w:rsid w:val="004D4907"/>
    <w:rsid w:val="004D5D86"/>
    <w:rsid w:val="004E4F10"/>
    <w:rsid w:val="004F6904"/>
    <w:rsid w:val="00511FA8"/>
    <w:rsid w:val="00512E82"/>
    <w:rsid w:val="00533A04"/>
    <w:rsid w:val="00534301"/>
    <w:rsid w:val="00560E4B"/>
    <w:rsid w:val="005618DA"/>
    <w:rsid w:val="0056390B"/>
    <w:rsid w:val="00592ED6"/>
    <w:rsid w:val="005E48E2"/>
    <w:rsid w:val="005F0F18"/>
    <w:rsid w:val="005F50C8"/>
    <w:rsid w:val="00634120"/>
    <w:rsid w:val="00656FE3"/>
    <w:rsid w:val="006628E3"/>
    <w:rsid w:val="0066613A"/>
    <w:rsid w:val="0069585A"/>
    <w:rsid w:val="006C491D"/>
    <w:rsid w:val="006D0730"/>
    <w:rsid w:val="006D4EED"/>
    <w:rsid w:val="00700A11"/>
    <w:rsid w:val="00730A60"/>
    <w:rsid w:val="007405E4"/>
    <w:rsid w:val="00747020"/>
    <w:rsid w:val="00764C2E"/>
    <w:rsid w:val="00764F96"/>
    <w:rsid w:val="007661D7"/>
    <w:rsid w:val="00772BEE"/>
    <w:rsid w:val="0078721D"/>
    <w:rsid w:val="00787BCD"/>
    <w:rsid w:val="007A5718"/>
    <w:rsid w:val="007A682E"/>
    <w:rsid w:val="007A7ECA"/>
    <w:rsid w:val="007C430C"/>
    <w:rsid w:val="007C7355"/>
    <w:rsid w:val="007E1739"/>
    <w:rsid w:val="007F2F80"/>
    <w:rsid w:val="008038DC"/>
    <w:rsid w:val="0081421D"/>
    <w:rsid w:val="008457E7"/>
    <w:rsid w:val="00861857"/>
    <w:rsid w:val="00861F1B"/>
    <w:rsid w:val="00882B84"/>
    <w:rsid w:val="00890330"/>
    <w:rsid w:val="00891B1D"/>
    <w:rsid w:val="00891D8C"/>
    <w:rsid w:val="008A67AB"/>
    <w:rsid w:val="008C2912"/>
    <w:rsid w:val="008D1F29"/>
    <w:rsid w:val="008D6E58"/>
    <w:rsid w:val="008D73D6"/>
    <w:rsid w:val="008F0803"/>
    <w:rsid w:val="00903301"/>
    <w:rsid w:val="0090387E"/>
    <w:rsid w:val="00915A30"/>
    <w:rsid w:val="00925495"/>
    <w:rsid w:val="009403EF"/>
    <w:rsid w:val="00946C7B"/>
    <w:rsid w:val="00993314"/>
    <w:rsid w:val="00993847"/>
    <w:rsid w:val="009B1B51"/>
    <w:rsid w:val="009B598F"/>
    <w:rsid w:val="00A07567"/>
    <w:rsid w:val="00A106E1"/>
    <w:rsid w:val="00A14D63"/>
    <w:rsid w:val="00A15E5D"/>
    <w:rsid w:val="00A63E6A"/>
    <w:rsid w:val="00A70B6B"/>
    <w:rsid w:val="00A7174B"/>
    <w:rsid w:val="00A745DF"/>
    <w:rsid w:val="00A86538"/>
    <w:rsid w:val="00A87C9D"/>
    <w:rsid w:val="00AA1541"/>
    <w:rsid w:val="00AA5132"/>
    <w:rsid w:val="00AC1266"/>
    <w:rsid w:val="00AF0D08"/>
    <w:rsid w:val="00AF2ECD"/>
    <w:rsid w:val="00AF60B7"/>
    <w:rsid w:val="00B065D2"/>
    <w:rsid w:val="00B12F51"/>
    <w:rsid w:val="00B360C2"/>
    <w:rsid w:val="00B43AB5"/>
    <w:rsid w:val="00B5577E"/>
    <w:rsid w:val="00B62536"/>
    <w:rsid w:val="00BB3ED3"/>
    <w:rsid w:val="00BC4CCD"/>
    <w:rsid w:val="00BE6D57"/>
    <w:rsid w:val="00BF3867"/>
    <w:rsid w:val="00BF6AD9"/>
    <w:rsid w:val="00BF7B67"/>
    <w:rsid w:val="00C07B57"/>
    <w:rsid w:val="00C267ED"/>
    <w:rsid w:val="00C56CCC"/>
    <w:rsid w:val="00C74164"/>
    <w:rsid w:val="00C82978"/>
    <w:rsid w:val="00C82989"/>
    <w:rsid w:val="00CB6DEF"/>
    <w:rsid w:val="00CC71D5"/>
    <w:rsid w:val="00CE5869"/>
    <w:rsid w:val="00CE7194"/>
    <w:rsid w:val="00D016B7"/>
    <w:rsid w:val="00D33D79"/>
    <w:rsid w:val="00D34A7B"/>
    <w:rsid w:val="00D74176"/>
    <w:rsid w:val="00D77924"/>
    <w:rsid w:val="00D8426B"/>
    <w:rsid w:val="00D93D7A"/>
    <w:rsid w:val="00D93F67"/>
    <w:rsid w:val="00DC4F98"/>
    <w:rsid w:val="00DE0E30"/>
    <w:rsid w:val="00DF7DE1"/>
    <w:rsid w:val="00E01684"/>
    <w:rsid w:val="00E30266"/>
    <w:rsid w:val="00E74EC5"/>
    <w:rsid w:val="00E765F7"/>
    <w:rsid w:val="00E84B44"/>
    <w:rsid w:val="00E8554B"/>
    <w:rsid w:val="00EB035D"/>
    <w:rsid w:val="00EB19C9"/>
    <w:rsid w:val="00EF27D2"/>
    <w:rsid w:val="00EF538D"/>
    <w:rsid w:val="00EF63CB"/>
    <w:rsid w:val="00F0114B"/>
    <w:rsid w:val="00F128FE"/>
    <w:rsid w:val="00F30199"/>
    <w:rsid w:val="00F30D5E"/>
    <w:rsid w:val="00F509B5"/>
    <w:rsid w:val="00F659E7"/>
    <w:rsid w:val="00F70D86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  <w:style w:type="character" w:styleId="Pogrubienie">
    <w:name w:val="Strong"/>
    <w:basedOn w:val="Domylnaczcionkaakapitu"/>
    <w:uiPriority w:val="22"/>
    <w:qFormat/>
    <w:rsid w:val="00E74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4711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4</cp:revision>
  <dcterms:created xsi:type="dcterms:W3CDTF">2024-03-15T09:47:00Z</dcterms:created>
  <dcterms:modified xsi:type="dcterms:W3CDTF">2024-03-18T15:06:00Z</dcterms:modified>
</cp:coreProperties>
</file>